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011A77B" w:rsidP="2011A77B" w:rsidRDefault="2011A77B" w14:paraId="12DC03FB" w14:textId="066C6B10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11A77B" w:rsidR="2011A77B">
        <w:rPr>
          <w:rFonts w:ascii="Calibri" w:hAnsi="Calibri" w:eastAsia="Calibri" w:cs="Calibri"/>
          <w:noProof w:val="0"/>
          <w:sz w:val="22"/>
          <w:szCs w:val="22"/>
          <w:lang w:val="en-US"/>
        </w:rPr>
        <w:t>VGI WORKING GROUP, SUBGROUP B</w:t>
      </w:r>
    </w:p>
    <w:p w:rsidR="2011A77B" w:rsidP="2011A77B" w:rsidRDefault="2011A77B" w14:paraId="301EA0D7" w14:textId="057A795E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011A77B" w:rsidR="2011A77B">
        <w:rPr>
          <w:rFonts w:ascii="Calibri" w:hAnsi="Calibri" w:eastAsia="Calibri" w:cs="Calibri"/>
          <w:noProof w:val="0"/>
          <w:sz w:val="22"/>
          <w:szCs w:val="22"/>
          <w:lang w:val="en-US"/>
        </w:rPr>
        <w:t>Team 10 Rules of Thumb for Scoring</w:t>
      </w:r>
    </w:p>
    <w:p w:rsidR="2011A77B" w:rsidP="2011A77B" w:rsidRDefault="2011A77B" w14:paraId="3CFE51FA" w14:textId="5D2D6BFB">
      <w:pPr>
        <w:pStyle w:val="Normal"/>
      </w:pPr>
    </w:p>
    <w:p w:rsidR="2011A77B" w:rsidP="2011A77B" w:rsidRDefault="2011A77B" w14:paraId="1B3B5AD8" w14:textId="157FAEC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011A77B" w:rsidR="2011A77B">
        <w:rPr>
          <w:b w:val="1"/>
          <w:bCs w:val="1"/>
        </w:rPr>
        <w:t xml:space="preserve">Rate design </w:t>
      </w:r>
      <w:r w:rsidR="2011A77B">
        <w:rPr/>
        <w:t>is always “</w:t>
      </w:r>
      <w:r w:rsidRPr="2011A77B" w:rsidR="2011A77B">
        <w:rPr>
          <w:b w:val="1"/>
          <w:bCs w:val="1"/>
        </w:rPr>
        <w:t>indirect</w:t>
      </w:r>
      <w:r w:rsidR="2011A77B">
        <w:rPr/>
        <w:t>”</w:t>
      </w:r>
    </w:p>
    <w:p w:rsidR="2011A77B" w:rsidP="2011A77B" w:rsidRDefault="2011A77B" w14:paraId="3F0CF29D" w14:textId="49A2056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2011A77B" w:rsidR="2011A77B">
        <w:rPr>
          <w:b w:val="1"/>
          <w:bCs w:val="1"/>
        </w:rPr>
        <w:t xml:space="preserve">System RA </w:t>
      </w:r>
      <w:r w:rsidR="2011A77B">
        <w:rPr/>
        <w:t>services are always “</w:t>
      </w:r>
      <w:r w:rsidRPr="2011A77B" w:rsidR="2011A77B">
        <w:rPr>
          <w:b w:val="1"/>
          <w:bCs w:val="1"/>
        </w:rPr>
        <w:t>Direct</w:t>
      </w:r>
      <w:r w:rsidR="2011A77B">
        <w:rPr/>
        <w:t>”</w:t>
      </w:r>
    </w:p>
    <w:p w:rsidR="2011A77B" w:rsidP="2011A77B" w:rsidRDefault="2011A77B" w14:paraId="246C38A6" w14:textId="419A1700">
      <w:pPr>
        <w:pStyle w:val="ListParagraph"/>
        <w:numPr>
          <w:ilvl w:val="1"/>
          <w:numId w:val="1"/>
        </w:numPr>
        <w:rPr>
          <w:sz w:val="22"/>
          <w:szCs w:val="22"/>
        </w:rPr>
      </w:pPr>
      <w:proofErr w:type="gramStart"/>
      <w:r w:rsidR="2011A77B">
        <w:rPr/>
        <w:t>However</w:t>
      </w:r>
      <w:proofErr w:type="gramEnd"/>
      <w:r w:rsidR="2011A77B">
        <w:rPr/>
        <w:t xml:space="preserve"> </w:t>
      </w:r>
      <w:r w:rsidRPr="2011A77B" w:rsidR="2011A77B">
        <w:rPr>
          <w:b w:val="1"/>
          <w:bCs w:val="1"/>
        </w:rPr>
        <w:t>PASS</w:t>
      </w:r>
      <w:r w:rsidR="2011A77B">
        <w:rPr>
          <w:b w:val="0"/>
          <w:bCs w:val="0"/>
        </w:rPr>
        <w:t xml:space="preserve"> use cases that are </w:t>
      </w:r>
      <w:r w:rsidRPr="2011A77B" w:rsidR="2011A77B">
        <w:rPr>
          <w:b w:val="1"/>
          <w:bCs w:val="1"/>
        </w:rPr>
        <w:t>RA-System/indirect</w:t>
      </w:r>
      <w:r w:rsidR="2011A77B">
        <w:rPr>
          <w:b w:val="0"/>
          <w:bCs w:val="0"/>
        </w:rPr>
        <w:t xml:space="preserve"> to reflect the benefits provided TOU rates that push charging off-peak, thus avoiding/reducing future RA obligations. This is the case for future capacity building.</w:t>
      </w:r>
    </w:p>
    <w:p w:rsidR="2011A77B" w:rsidP="2011A77B" w:rsidRDefault="2011A77B" w14:paraId="15F3B705" w14:textId="4A64468C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011A77B" w:rsidR="2011A77B">
        <w:rPr>
          <w:b w:val="1"/>
          <w:bCs w:val="1"/>
        </w:rPr>
        <w:t>Filter out</w:t>
      </w:r>
      <w:r w:rsidR="2011A77B">
        <w:rPr>
          <w:b w:val="0"/>
          <w:bCs w:val="0"/>
        </w:rPr>
        <w:t xml:space="preserve"> use-cases that are RA-Flex / indirect or RA-Local / indirect. Both of these are more “engaging” than RA-System, so </w:t>
      </w:r>
      <w:proofErr w:type="gramStart"/>
      <w:r w:rsidR="2011A77B">
        <w:rPr>
          <w:b w:val="0"/>
          <w:bCs w:val="0"/>
        </w:rPr>
        <w:t>best</w:t>
      </w:r>
      <w:proofErr w:type="gramEnd"/>
      <w:r w:rsidR="2011A77B">
        <w:rPr>
          <w:b w:val="0"/>
          <w:bCs w:val="0"/>
        </w:rPr>
        <w:t xml:space="preserve"> fit for Direct approach</w:t>
      </w:r>
    </w:p>
    <w:p w:rsidR="2011A77B" w:rsidP="2011A77B" w:rsidRDefault="2011A77B" w14:paraId="38C5B21B" w14:textId="15E81771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011A77B" w:rsidR="2011A77B">
        <w:rPr>
          <w:b w:val="1"/>
          <w:bCs w:val="1"/>
        </w:rPr>
        <w:t xml:space="preserve">Residential </w:t>
      </w:r>
      <w:r w:rsidR="2011A77B">
        <w:rPr>
          <w:b w:val="0"/>
          <w:bCs w:val="0"/>
        </w:rPr>
        <w:t xml:space="preserve">is almost always </w:t>
      </w:r>
      <w:r w:rsidRPr="2011A77B" w:rsidR="2011A77B">
        <w:rPr>
          <w:b w:val="1"/>
          <w:bCs w:val="1"/>
        </w:rPr>
        <w:t>“Unified, Aligned”</w:t>
      </w:r>
    </w:p>
    <w:p w:rsidR="2011A77B" w:rsidP="2011A77B" w:rsidRDefault="2011A77B" w14:paraId="3C4F78AA" w14:textId="386EAF2B">
      <w:pPr>
        <w:pStyle w:val="ListParagraph"/>
        <w:numPr>
          <w:ilvl w:val="1"/>
          <w:numId w:val="1"/>
        </w:numPr>
        <w:rPr>
          <w:b w:val="0"/>
          <w:bCs w:val="0"/>
          <w:sz w:val="22"/>
          <w:szCs w:val="22"/>
        </w:rPr>
      </w:pPr>
      <w:r w:rsidRPr="2011A77B" w:rsidR="2011A77B">
        <w:rPr>
          <w:b w:val="1"/>
          <w:bCs w:val="1"/>
        </w:rPr>
        <w:t xml:space="preserve">Fail </w:t>
      </w:r>
      <w:r w:rsidR="2011A77B">
        <w:rPr>
          <w:b w:val="0"/>
          <w:bCs w:val="0"/>
        </w:rPr>
        <w:t xml:space="preserve">all “Fragmented, Misaligned” for </w:t>
      </w:r>
      <w:proofErr w:type="spellStart"/>
      <w:r w:rsidR="2011A77B">
        <w:rPr>
          <w:b w:val="0"/>
          <w:bCs w:val="0"/>
        </w:rPr>
        <w:t>SIngle</w:t>
      </w:r>
      <w:proofErr w:type="spellEnd"/>
      <w:r w:rsidR="2011A77B">
        <w:rPr>
          <w:b w:val="0"/>
          <w:bCs w:val="0"/>
        </w:rPr>
        <w:t xml:space="preserve"> Family Home Residential. The Resource is almost always Unified.</w:t>
      </w:r>
    </w:p>
    <w:p w:rsidR="2011A77B" w:rsidP="2011A77B" w:rsidRDefault="2011A77B" w14:paraId="4038A25A" w14:textId="01C17DA5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011A77B" w:rsidR="2011A77B">
        <w:rPr>
          <w:b w:val="1"/>
          <w:bCs w:val="1"/>
        </w:rPr>
        <w:t xml:space="preserve">Fleet </w:t>
      </w:r>
      <w:r w:rsidR="2011A77B">
        <w:rPr>
          <w:b w:val="0"/>
          <w:bCs w:val="0"/>
        </w:rPr>
        <w:t xml:space="preserve">is always </w:t>
      </w:r>
      <w:r w:rsidRPr="2011A77B" w:rsidR="2011A77B">
        <w:rPr>
          <w:b w:val="1"/>
          <w:bCs w:val="1"/>
        </w:rPr>
        <w:t>“Unified, Aligned”</w:t>
      </w:r>
    </w:p>
    <w:p w:rsidR="2011A77B" w:rsidP="2011A77B" w:rsidRDefault="2011A77B" w14:paraId="4FEC2D38" w14:textId="2A30E7C5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011A77B" w:rsidR="2011A77B">
        <w:rPr>
          <w:b w:val="1"/>
          <w:bCs w:val="1"/>
        </w:rPr>
        <w:t xml:space="preserve">Commerical Public </w:t>
      </w:r>
      <w:r w:rsidRPr="2011A77B" w:rsidR="2011A77B">
        <w:rPr>
          <w:b w:val="1"/>
          <w:bCs w:val="1"/>
        </w:rPr>
        <w:t>Commute</w:t>
      </w:r>
      <w:r w:rsidR="2011A77B">
        <w:rPr>
          <w:b w:val="0"/>
          <w:bCs w:val="0"/>
        </w:rPr>
        <w:t xml:space="preserve"> (the gas station model) cannot be </w:t>
      </w:r>
      <w:r w:rsidRPr="2011A77B" w:rsidR="2011A77B">
        <w:rPr>
          <w:b w:val="1"/>
          <w:bCs w:val="1"/>
        </w:rPr>
        <w:t>“Unified, Aligned”</w:t>
      </w:r>
    </w:p>
    <w:p w:rsidR="2011A77B" w:rsidP="2011A77B" w:rsidRDefault="2011A77B" w14:paraId="5ADD1791" w14:textId="0C7F2EEE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011A77B" w:rsidR="2011A77B">
        <w:rPr>
          <w:b w:val="1"/>
          <w:bCs w:val="1"/>
        </w:rPr>
        <w:t xml:space="preserve">Fail </w:t>
      </w:r>
      <w:r w:rsidR="2011A77B">
        <w:rPr>
          <w:b w:val="0"/>
          <w:bCs w:val="0"/>
        </w:rPr>
        <w:t>all indirect for “Fragmented, Misaligned”</w:t>
      </w:r>
    </w:p>
    <w:p w:rsidR="2011A77B" w:rsidP="2011A77B" w:rsidRDefault="2011A77B" w14:paraId="600736FD" w14:textId="0F3F024C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011A77B" w:rsidR="2011A77B">
        <w:rPr>
          <w:b w:val="1"/>
          <w:bCs w:val="1"/>
        </w:rPr>
        <w:t xml:space="preserve">Fail </w:t>
      </w:r>
      <w:r w:rsidR="2011A77B">
        <w:rPr>
          <w:b w:val="0"/>
          <w:bCs w:val="0"/>
        </w:rPr>
        <w:t>all V1G for back-up / resiliency</w:t>
      </w:r>
    </w:p>
    <w:p w:rsidR="2011A77B" w:rsidP="2011A77B" w:rsidRDefault="2011A77B" w14:paraId="453B04E4" w14:textId="7C5F7106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011A77B" w:rsidR="2011A77B">
        <w:rPr>
          <w:b w:val="1"/>
          <w:bCs w:val="1"/>
        </w:rPr>
        <w:t xml:space="preserve">Fail </w:t>
      </w:r>
      <w:r w:rsidR="2011A77B">
        <w:rPr>
          <w:b w:val="0"/>
          <w:bCs w:val="0"/>
        </w:rPr>
        <w:t>all Ancillary Services (Frequency, Spin, Non-Spin) / indirect, as well as Voltage Support / indirect</w:t>
      </w:r>
    </w:p>
    <w:p w:rsidR="2011A77B" w:rsidP="2011A77B" w:rsidRDefault="2011A77B" w14:paraId="6B588504" w14:textId="56EFD2ED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011A77B" w:rsidR="2011A77B">
        <w:rPr>
          <w:b w:val="1"/>
          <w:bCs w:val="1"/>
        </w:rPr>
        <w:t>Fail all Customer</w:t>
      </w:r>
      <w:r w:rsidR="2011A77B">
        <w:rPr>
          <w:b w:val="0"/>
          <w:bCs w:val="0"/>
        </w:rPr>
        <w:t xml:space="preserve"> – On-site Renewable Consumption / Direct, under the premise that, whole smart EV charging technology may technically be capable of this, the technology is not yet mature nor is being piloted.</w:t>
      </w:r>
    </w:p>
    <w:p w:rsidR="2011A77B" w:rsidP="2011A77B" w:rsidRDefault="2011A77B" w14:paraId="3276F56F" w14:textId="6D4E5AAE">
      <w:pPr>
        <w:pStyle w:val="ListParagraph"/>
        <w:numPr>
          <w:ilvl w:val="0"/>
          <w:numId w:val="1"/>
        </w:numPr>
        <w:rPr>
          <w:b w:val="0"/>
          <w:bCs w:val="0"/>
          <w:sz w:val="22"/>
          <w:szCs w:val="22"/>
        </w:rPr>
      </w:pPr>
      <w:r w:rsidRPr="2011A77B" w:rsidR="2011A77B">
        <w:rPr>
          <w:b w:val="1"/>
          <w:bCs w:val="1"/>
        </w:rPr>
        <w:t>Fail all V2G</w:t>
      </w:r>
      <w:r w:rsidR="2011A77B">
        <w:rPr>
          <w:b w:val="0"/>
          <w:bCs w:val="0"/>
        </w:rPr>
        <w:t xml:space="preserve"> approaches for LDVs, as this is not yet mature, nor is being piloted.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BC18415"/>
  <w15:docId w15:val="{d8becd72-def6-4d04-ba2e-7cb197674424}"/>
  <w:rsids>
    <w:rsidRoot w:val="10B30689"/>
    <w:rsid w:val="10B30689"/>
    <w:rsid w:val="2011A77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1c8f06a16d440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2019-11-04T19:43:53.9482524Z</dcterms:created>
  <dcterms:modified xsi:type="dcterms:W3CDTF">2019-11-04T19:54:13.3008752Z</dcterms:modified>
  <dc:creator>Andrew Spreen</dc:creator>
  <lastModifiedBy>Andrew Spreen</lastModifiedBy>
</coreProperties>
</file>